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39" w:rsidRDefault="00B16474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t>OBRAZLOŽENJE IZVRŠENJA FINANCIJSKOG PLANA HŽ INFRASTRUKTURE ZA PRVO POLUGODIŠTE 2025. GODINE</w:t>
      </w:r>
    </w:p>
    <w:p w:rsidR="00A27B39" w:rsidRDefault="00B16474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HŽ Infrastruktura je strateško društvo u vlasništvu Republike Hrvatske koje upravlja željezničkom infrastrukturom u Republici Hrvatskoj. Kao upravitelj željezničke infrastrukture, HŽ Infrastruktura je dužna osigurati siguran, pouzdan, nediskriminirajući, gospodarski učinkovit i razvojno održiv željeznički promet u skladu sa zakonskim propisima i ugovornim obvezama. Stoga, upravljanje željezničkom infrastrukturom kao djelatnost od javnog interesa obuhvaća:</w:t>
      </w:r>
    </w:p>
    <w:p w:rsidR="00A27B39" w:rsidRDefault="00B16474">
      <w:pPr>
        <w:spacing w:line="240" w:lineRule="auto"/>
        <w:ind w:left="709" w:hanging="283"/>
        <w:jc w:val="both"/>
      </w:pPr>
      <w:r>
        <w:rPr>
          <w:rFonts w:ascii="Times New Roman" w:hAnsi="Times New Roman" w:cs="Times New Roman"/>
          <w:sz w:val="24"/>
        </w:rPr>
        <w:t>▪    Organizaciju i regulaciju željezničkog prometa</w:t>
      </w:r>
    </w:p>
    <w:p w:rsidR="00A27B39" w:rsidRDefault="00B16474">
      <w:pPr>
        <w:spacing w:line="240" w:lineRule="auto"/>
        <w:ind w:left="709" w:hanging="283"/>
        <w:jc w:val="both"/>
      </w:pPr>
      <w:r>
        <w:rPr>
          <w:rFonts w:ascii="Times New Roman" w:hAnsi="Times New Roman" w:cs="Times New Roman"/>
          <w:sz w:val="24"/>
        </w:rPr>
        <w:t>▪    Osiguranje pristupa i korištenje željezničke infrastrukture svim željezničkim prijevoznicima koji ispunjavaju propisane uvjete</w:t>
      </w:r>
    </w:p>
    <w:p w:rsidR="00A27B39" w:rsidRDefault="00B16474">
      <w:pPr>
        <w:spacing w:line="240" w:lineRule="auto"/>
        <w:ind w:left="709" w:hanging="283"/>
        <w:jc w:val="both"/>
      </w:pPr>
      <w:r>
        <w:rPr>
          <w:rFonts w:ascii="Times New Roman" w:hAnsi="Times New Roman" w:cs="Times New Roman"/>
          <w:sz w:val="24"/>
        </w:rPr>
        <w:t xml:space="preserve">▪    Održavanje željezničke infrastrukture </w:t>
      </w:r>
    </w:p>
    <w:p w:rsidR="00A27B39" w:rsidRDefault="00B16474">
      <w:pPr>
        <w:spacing w:line="240" w:lineRule="auto"/>
        <w:ind w:left="709" w:hanging="283"/>
        <w:jc w:val="both"/>
      </w:pPr>
      <w:r>
        <w:rPr>
          <w:rFonts w:ascii="Times New Roman" w:hAnsi="Times New Roman" w:cs="Times New Roman"/>
          <w:sz w:val="24"/>
        </w:rPr>
        <w:t>▪   </w:t>
      </w:r>
      <w:r w:rsidR="00EA6FB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Izgradnju, dogradnju i obnovu kao i osuvremenjivanje željezničke infrastrukture sukladno Nacionalnom programu željezničke infrastrukture</w:t>
      </w:r>
    </w:p>
    <w:p w:rsidR="00A27B39" w:rsidRDefault="00B16474">
      <w:pPr>
        <w:spacing w:line="240" w:lineRule="auto"/>
        <w:ind w:left="709"/>
        <w:jc w:val="both"/>
      </w:pPr>
      <w:r>
        <w:rPr>
          <w:rFonts w:ascii="Times New Roman" w:hAnsi="Times New Roman" w:cs="Times New Roman"/>
          <w:sz w:val="24"/>
        </w:rPr>
        <w:t> 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HŽ Infrastruktura upravlja sa 2.617 kilometara pruge koje su kategorizirane na:</w:t>
      </w:r>
    </w:p>
    <w:p w:rsidR="00A27B39" w:rsidRDefault="00B16474" w:rsidP="0009555A">
      <w:pPr>
        <w:pStyle w:val="Odlomakpopisa"/>
        <w:numPr>
          <w:ilvl w:val="0"/>
          <w:numId w:val="2"/>
        </w:numPr>
        <w:spacing w:line="240" w:lineRule="auto"/>
        <w:jc w:val="both"/>
      </w:pPr>
      <w:r w:rsidRPr="0009555A">
        <w:rPr>
          <w:rFonts w:ascii="Times New Roman" w:hAnsi="Times New Roman" w:cs="Times New Roman"/>
          <w:sz w:val="24"/>
        </w:rPr>
        <w:t>Međunarodne pruge:</w:t>
      </w:r>
    </w:p>
    <w:p w:rsidR="00A27B39" w:rsidRDefault="00B16474">
      <w:pPr>
        <w:spacing w:line="240" w:lineRule="auto"/>
        <w:ind w:left="993" w:hanging="284"/>
        <w:jc w:val="both"/>
      </w:pPr>
      <w:r>
        <w:rPr>
          <w:rFonts w:ascii="Times New Roman" w:hAnsi="Times New Roman" w:cs="Times New Roman"/>
          <w:sz w:val="24"/>
        </w:rPr>
        <w:t>-   glavne pruge – 782 km (30% ukupne mreže na kojoj se odvija 75% ukupnog prometa)</w:t>
      </w:r>
    </w:p>
    <w:p w:rsidR="00A27B39" w:rsidRDefault="00B16474">
      <w:pPr>
        <w:spacing w:line="240" w:lineRule="auto"/>
        <w:ind w:left="993" w:hanging="284"/>
        <w:jc w:val="both"/>
      </w:pPr>
      <w:r>
        <w:rPr>
          <w:rFonts w:ascii="Times New Roman" w:hAnsi="Times New Roman" w:cs="Times New Roman"/>
          <w:sz w:val="24"/>
        </w:rPr>
        <w:t>-   ostale pruge – 678 km (26% ukupne mreže na kojoj se odvija 15% ukupnog prometa)</w:t>
      </w:r>
    </w:p>
    <w:p w:rsidR="00A27B39" w:rsidRDefault="00B16474" w:rsidP="0009555A">
      <w:pPr>
        <w:pStyle w:val="Odlomakpopisa"/>
        <w:numPr>
          <w:ilvl w:val="0"/>
          <w:numId w:val="2"/>
        </w:numPr>
        <w:spacing w:line="240" w:lineRule="auto"/>
        <w:jc w:val="both"/>
      </w:pPr>
      <w:r w:rsidRPr="0009555A">
        <w:rPr>
          <w:rFonts w:ascii="Times New Roman" w:hAnsi="Times New Roman" w:cs="Times New Roman"/>
          <w:sz w:val="24"/>
        </w:rPr>
        <w:t>Regionalne pruge – 626 km (24% ukupne mreže na kojoj se odvija 7% ukupnog prometa)</w:t>
      </w:r>
    </w:p>
    <w:p w:rsidR="00A27B39" w:rsidRDefault="00B16474" w:rsidP="0009555A">
      <w:pPr>
        <w:pStyle w:val="Odlomakpopisa"/>
        <w:numPr>
          <w:ilvl w:val="0"/>
          <w:numId w:val="2"/>
        </w:numPr>
        <w:spacing w:line="240" w:lineRule="auto"/>
        <w:jc w:val="both"/>
      </w:pPr>
      <w:r w:rsidRPr="0009555A">
        <w:rPr>
          <w:rFonts w:ascii="Times New Roman" w:hAnsi="Times New Roman" w:cs="Times New Roman"/>
          <w:sz w:val="24"/>
        </w:rPr>
        <w:t>Lokalne pruge – 531 km (20% ukupne mreže na kojoj se odvija 3% ukupnog prometa)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Osim pruga, željezničku infrastrukturu čine i ostali objekti u pružnom pojasu –službena mjesta, željezničko-cestovni prijelazi te mostovi, tuneli i propusti.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Poslovanje HŽ Infrastrukture odvija se sukladno strateškim dokumentima za razvoj željeznice, a određeno je Zakonom o željeznici, Zakonom o trgovačkim društvima i Izjavi o osnivanju društva, te drugim zakonskim i podzakonskim aktima vezanim uz djelatnost HŽ Infrastrukture.</w:t>
      </w:r>
    </w:p>
    <w:p w:rsidR="00A27B39" w:rsidRDefault="00B16474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  <w:bookmarkStart w:id="0" w:name="_GoBack"/>
      <w:bookmarkEnd w:id="0"/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24"/>
        <w:gridCol w:w="1499"/>
        <w:gridCol w:w="1499"/>
        <w:gridCol w:w="1498"/>
        <w:gridCol w:w="937"/>
        <w:gridCol w:w="937"/>
      </w:tblGrid>
      <w:tr w:rsidR="00A27B39">
        <w:tc>
          <w:tcPr>
            <w:tcW w:w="14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2025.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A27B39">
        <w:tc>
          <w:tcPr>
            <w:tcW w:w="14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A27B39">
        <w:tc>
          <w:tcPr>
            <w:tcW w:w="14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203.596.801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489.464.400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300.496.839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147,6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61,4</w:t>
            </w:r>
          </w:p>
        </w:tc>
      </w:tr>
      <w:tr w:rsidR="00A27B39">
        <w:tc>
          <w:tcPr>
            <w:tcW w:w="14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 xml:space="preserve">7 PRIHODI OD PRODAJE </w:t>
            </w:r>
            <w:r>
              <w:rPr>
                <w:rFonts w:ascii="Times New Roman" w:hAnsi="Times New Roman" w:cs="Times New Roman"/>
                <w:sz w:val="18"/>
              </w:rPr>
              <w:lastRenderedPageBreak/>
              <w:t>NEFINANCIJSKE IMOVINE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lastRenderedPageBreak/>
              <w:t>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500" w:type="pct"/>
            <w:vAlign w:val="bottom"/>
          </w:tcPr>
          <w:p w:rsidR="00A27B39" w:rsidRDefault="00A27B39">
            <w:pPr>
              <w:spacing w:after="0" w:line="240" w:lineRule="auto"/>
              <w:jc w:val="right"/>
            </w:pPr>
          </w:p>
        </w:tc>
        <w:tc>
          <w:tcPr>
            <w:tcW w:w="500" w:type="pct"/>
            <w:vAlign w:val="bottom"/>
          </w:tcPr>
          <w:p w:rsidR="00A27B39" w:rsidRDefault="00A27B39">
            <w:pPr>
              <w:spacing w:after="0" w:line="240" w:lineRule="auto"/>
              <w:jc w:val="right"/>
            </w:pPr>
          </w:p>
        </w:tc>
      </w:tr>
      <w:tr w:rsidR="00A27B39">
        <w:tc>
          <w:tcPr>
            <w:tcW w:w="14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203.596.801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489.464.400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300.496.839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147,6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61,4</w:t>
            </w:r>
          </w:p>
        </w:tc>
      </w:tr>
    </w:tbl>
    <w:p w:rsidR="00A27B39" w:rsidRDefault="00A27B39">
      <w:pPr>
        <w:spacing w:after="0" w:line="240" w:lineRule="auto"/>
      </w:pP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prvom polugodištu 2025. godine HŽ Infrastruktura je ostvarila ukupne prihode u iznosu 300,50 mil EUR ili 61,4% planiranih, a u odnosu na isto razdoblje prethodne godine ukupni prihodi veći su za 47,6%.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Od ukupno ostvarenih prihoda,</w:t>
      </w:r>
      <w:r w:rsidR="003818D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83,2% odnosi se na prihode evidentirane u skupini </w:t>
      </w:r>
      <w:r>
        <w:rPr>
          <w:rFonts w:ascii="Times New Roman" w:hAnsi="Times New Roman" w:cs="Times New Roman"/>
          <w:i/>
          <w:sz w:val="24"/>
        </w:rPr>
        <w:t>Pomoći iz inozemstva i od subjekata unutar općeg proračuna</w:t>
      </w:r>
      <w:r>
        <w:rPr>
          <w:rFonts w:ascii="Times New Roman" w:hAnsi="Times New Roman" w:cs="Times New Roman"/>
          <w:sz w:val="24"/>
        </w:rPr>
        <w:t xml:space="preserve"> (249,92 mil EUR) od čega se na poziciju </w:t>
      </w:r>
      <w:r>
        <w:rPr>
          <w:rFonts w:ascii="Times New Roman" w:hAnsi="Times New Roman" w:cs="Times New Roman"/>
          <w:i/>
          <w:sz w:val="24"/>
        </w:rPr>
        <w:t>Pomoći proračunu i izvanproračunskim korisnicima</w:t>
      </w:r>
      <w:r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i/>
          <w:sz w:val="24"/>
        </w:rPr>
        <w:t>iz drugih proračuna</w:t>
      </w:r>
      <w:r>
        <w:rPr>
          <w:rFonts w:ascii="Times New Roman" w:hAnsi="Times New Roman" w:cs="Times New Roman"/>
          <w:sz w:val="24"/>
        </w:rPr>
        <w:t xml:space="preserve"> odnosi 94,8% odnosno 236,81 mil EUR. Predmetna sredstva najvećim dijelom odnose se na sredstva za financiranje i sufinanciranje građenja, modernizacije i obnove željezničke infrastrukture (111,35 mil EUR) te za upravljanje, organizaciju i regulaciju željezničkog prometa (59,68 mil EUR) i naknada u cijeni goriva (48,39 mil EUR) kojima se financiraju rashodi vezani za održavanje željezničke infrastrukture. Osim navedenog, predmetna grupa obuhvaća i potpore u provedbi CEF projekata i potpore za pripremu projekata planiranih za sufinanciranje iz EU fondova te nacionalne komponente za EU projekte.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odnosu na plan za 2025. godinu ostvareno je 60,1% planiranih sredstava, a u odnosu na isto razdoblje prethodne godine ostvareno je više za 83,6%. Predmetno povećanje najvećim dijelom rezultat je povećanja sredstava za investicijski segment poslovanja tj. za projekte obnove, modernizacije i izgradnje željezničke infrastrukture koji se financiraju iz zajma Europske investicijske banke, a koji u </w:t>
      </w:r>
      <w:r w:rsidR="007D7962">
        <w:rPr>
          <w:rFonts w:ascii="Times New Roman" w:hAnsi="Times New Roman" w:cs="Times New Roman"/>
          <w:sz w:val="24"/>
        </w:rPr>
        <w:t>prethodnom</w:t>
      </w:r>
      <w:r>
        <w:rPr>
          <w:rFonts w:ascii="Times New Roman" w:hAnsi="Times New Roman" w:cs="Times New Roman"/>
          <w:sz w:val="24"/>
        </w:rPr>
        <w:t xml:space="preserve"> razdoblju nije bio operativan (operativan </w:t>
      </w:r>
      <w:r w:rsidR="00AD6E29">
        <w:rPr>
          <w:rFonts w:ascii="Times New Roman" w:hAnsi="Times New Roman" w:cs="Times New Roman"/>
          <w:sz w:val="24"/>
        </w:rPr>
        <w:t xml:space="preserve">je </w:t>
      </w:r>
      <w:r>
        <w:rPr>
          <w:rFonts w:ascii="Times New Roman" w:hAnsi="Times New Roman" w:cs="Times New Roman"/>
          <w:sz w:val="24"/>
        </w:rPr>
        <w:t>od srpnja 2024. godine.). 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prvom polugodištu 2025. godine pozicija </w:t>
      </w:r>
      <w:r>
        <w:rPr>
          <w:rFonts w:ascii="Times New Roman" w:hAnsi="Times New Roman" w:cs="Times New Roman"/>
          <w:i/>
          <w:sz w:val="24"/>
        </w:rPr>
        <w:t>Pomoći temeljem prijenosa EU sredstava</w:t>
      </w:r>
      <w:r>
        <w:rPr>
          <w:rFonts w:ascii="Times New Roman" w:hAnsi="Times New Roman" w:cs="Times New Roman"/>
          <w:sz w:val="24"/>
        </w:rPr>
        <w:t xml:space="preserve"> iznosi 13,00 mil EUR, a odnose se na povlačenje sredstava za projekte iz: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a) Program Konkurentnost i kohezija 2021.-2027. u ukupnom iznosu 6,96 mil EUR, a po projektima kako slijedi:</w:t>
      </w:r>
    </w:p>
    <w:p w:rsidR="00A27B39" w:rsidRDefault="00B16474" w:rsidP="00054A68">
      <w:pPr>
        <w:spacing w:line="240" w:lineRule="auto"/>
        <w:ind w:left="360" w:hanging="360"/>
        <w:jc w:val="both"/>
      </w:pPr>
      <w:r>
        <w:rPr>
          <w:rFonts w:ascii="Times New Roman" w:hAnsi="Times New Roman" w:cs="Times New Roman"/>
          <w:sz w:val="24"/>
        </w:rPr>
        <w:t>-     Rekonstrukcija postojećeg i izgradnja drugog kolosijeka na dionici Hrvatski Leskovac - Karlovac na željezničkoj pruzi M202 Zag</w:t>
      </w:r>
      <w:r w:rsidR="00054A68">
        <w:rPr>
          <w:rFonts w:ascii="Times New Roman" w:hAnsi="Times New Roman" w:cs="Times New Roman"/>
          <w:sz w:val="24"/>
        </w:rPr>
        <w:t xml:space="preserve">reb Gk - Rijeka 2. faza  u iznosu od </w:t>
      </w:r>
      <w:r>
        <w:rPr>
          <w:rFonts w:ascii="Times New Roman" w:hAnsi="Times New Roman" w:cs="Times New Roman"/>
          <w:sz w:val="24"/>
        </w:rPr>
        <w:t>3,33 mil EUR</w:t>
      </w:r>
    </w:p>
    <w:p w:rsidR="00A27B39" w:rsidRDefault="00B16474" w:rsidP="00054A68">
      <w:pPr>
        <w:spacing w:line="240" w:lineRule="auto"/>
        <w:ind w:left="360" w:hanging="360"/>
        <w:jc w:val="both"/>
      </w:pPr>
      <w:r>
        <w:rPr>
          <w:rFonts w:ascii="Times New Roman" w:hAnsi="Times New Roman" w:cs="Times New Roman"/>
          <w:sz w:val="24"/>
        </w:rPr>
        <w:t>-    Projekt osiguranja i modernizacije željezničko-cestovnih prijelaza</w:t>
      </w:r>
      <w:r w:rsidR="00054A68" w:rsidRPr="00054A68">
        <w:rPr>
          <w:rFonts w:ascii="Times New Roman" w:hAnsi="Times New Roman" w:cs="Times New Roman"/>
          <w:sz w:val="24"/>
        </w:rPr>
        <w:t xml:space="preserve"> </w:t>
      </w:r>
      <w:r w:rsidR="00054A68">
        <w:rPr>
          <w:rFonts w:ascii="Times New Roman" w:hAnsi="Times New Roman" w:cs="Times New Roman"/>
          <w:sz w:val="24"/>
        </w:rPr>
        <w:t xml:space="preserve">u iznosu od </w:t>
      </w:r>
      <w:r>
        <w:rPr>
          <w:rFonts w:ascii="Times New Roman" w:hAnsi="Times New Roman" w:cs="Times New Roman"/>
          <w:sz w:val="24"/>
        </w:rPr>
        <w:t>3,63 mil EUR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b) Nacionalnog plana oporavka i otpornosti u ukupnom iznosu 6,04 mil EUR za projekte:</w:t>
      </w:r>
    </w:p>
    <w:p w:rsidR="00A27B39" w:rsidRDefault="00B16474" w:rsidP="0082354D">
      <w:pPr>
        <w:spacing w:line="240" w:lineRule="auto"/>
        <w:ind w:left="360" w:hanging="360"/>
        <w:jc w:val="both"/>
      </w:pPr>
      <w:r>
        <w:rPr>
          <w:rFonts w:ascii="Times New Roman" w:hAnsi="Times New Roman" w:cs="Times New Roman"/>
          <w:sz w:val="24"/>
        </w:rPr>
        <w:t>-     Modernizacija dionice Zagreb Kustošija-Zagreb ZK -Zagreb GK</w:t>
      </w:r>
      <w:r w:rsidR="0082354D" w:rsidRPr="0082354D">
        <w:rPr>
          <w:rFonts w:ascii="Times New Roman" w:hAnsi="Times New Roman" w:cs="Times New Roman"/>
          <w:sz w:val="24"/>
        </w:rPr>
        <w:t xml:space="preserve"> </w:t>
      </w:r>
      <w:r w:rsidR="0082354D">
        <w:rPr>
          <w:rFonts w:ascii="Times New Roman" w:hAnsi="Times New Roman" w:cs="Times New Roman"/>
          <w:sz w:val="24"/>
        </w:rPr>
        <w:t xml:space="preserve">u iznosu od </w:t>
      </w:r>
      <w:r>
        <w:rPr>
          <w:rFonts w:ascii="Times New Roman" w:hAnsi="Times New Roman" w:cs="Times New Roman"/>
          <w:sz w:val="24"/>
        </w:rPr>
        <w:t>1,29 mil EUR</w:t>
      </w:r>
    </w:p>
    <w:p w:rsidR="00A27B39" w:rsidRDefault="00B16474" w:rsidP="0082354D">
      <w:pPr>
        <w:spacing w:line="240" w:lineRule="auto"/>
        <w:ind w:left="360" w:hanging="360"/>
        <w:jc w:val="both"/>
      </w:pPr>
      <w:r>
        <w:rPr>
          <w:rFonts w:ascii="Times New Roman" w:hAnsi="Times New Roman" w:cs="Times New Roman"/>
          <w:sz w:val="24"/>
        </w:rPr>
        <w:t>-     Uklanjanje "uskih grla" na željezničkoj infrastrukturi</w:t>
      </w:r>
      <w:r w:rsidR="0082354D" w:rsidRPr="0082354D">
        <w:rPr>
          <w:rFonts w:ascii="Times New Roman" w:hAnsi="Times New Roman" w:cs="Times New Roman"/>
          <w:sz w:val="24"/>
        </w:rPr>
        <w:t xml:space="preserve"> </w:t>
      </w:r>
      <w:r w:rsidR="0082354D">
        <w:rPr>
          <w:rFonts w:ascii="Times New Roman" w:hAnsi="Times New Roman" w:cs="Times New Roman"/>
          <w:sz w:val="24"/>
        </w:rPr>
        <w:t xml:space="preserve">u iznosu od </w:t>
      </w:r>
      <w:r>
        <w:rPr>
          <w:rFonts w:ascii="Times New Roman" w:hAnsi="Times New Roman" w:cs="Times New Roman"/>
          <w:sz w:val="24"/>
        </w:rPr>
        <w:t>4,75mil EUR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odnosu na plan za 2025. godinu ostvareno je 45,9% planiranih sredstava, a u odnosu na isto razdoblje prethodne godine ostvareno je manje za 22,1%.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Do odstupanja izvršenja došlo je kao rezultat više faktora povezanih sa provedbom EU projekata, a prvenstveno se odnosi na vremensko pomicanje u realizaciji aktivnosti, odnosno promjena u planiranoj dinamici izvođenja radova.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Naime, pomicanje financijske realizacije vidljivo je na projektu </w:t>
      </w:r>
      <w:r>
        <w:rPr>
          <w:rFonts w:ascii="Times New Roman" w:hAnsi="Times New Roman" w:cs="Times New Roman"/>
          <w:i/>
          <w:sz w:val="24"/>
        </w:rPr>
        <w:t>Rekonstrukcija postojećeg i izgradnja drugog kolosijeka na dionici pruge Hrvatski Leskovac – Karlovac</w:t>
      </w:r>
      <w:r>
        <w:rPr>
          <w:rFonts w:ascii="Times New Roman" w:hAnsi="Times New Roman" w:cs="Times New Roman"/>
          <w:sz w:val="24"/>
        </w:rPr>
        <w:t xml:space="preserve">, koji se financira iz programa "Konkurentnost i kohezija" 2021. -2027., a za koji je još uvijek u tijeku postupak javne nabave za odabir izvođača radova (procijenjene vrijednosti 255,00 mil EUR, objavljen </w:t>
      </w:r>
      <w:r>
        <w:rPr>
          <w:rFonts w:ascii="Times New Roman" w:hAnsi="Times New Roman" w:cs="Times New Roman"/>
          <w:sz w:val="24"/>
        </w:rPr>
        <w:lastRenderedPageBreak/>
        <w:t xml:space="preserve">u 10 mjesecu 2024). Budući da se radi o složenom infrastrukturnom projektu, postupak javne nabave je iznimno zahtjevan te je došlo do pomicanja dinamike realizacije i posljedično financijskog izvršenja u odnosu na planirano.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Također, do izmijenjenih okolnosti u provedbi došlo je i na projektu </w:t>
      </w:r>
      <w:r>
        <w:rPr>
          <w:rFonts w:ascii="Times New Roman" w:hAnsi="Times New Roman" w:cs="Times New Roman"/>
          <w:i/>
          <w:sz w:val="24"/>
        </w:rPr>
        <w:t>Modernizacija pruge M604 Oštarije - Knin - Split</w:t>
      </w:r>
      <w:r>
        <w:rPr>
          <w:rFonts w:ascii="Times New Roman" w:hAnsi="Times New Roman" w:cs="Times New Roman"/>
          <w:sz w:val="24"/>
        </w:rPr>
        <w:t xml:space="preserve">, koji je financiran iz Nacionalnog plana oporavka i otpornosti, na kojem je uslijed niza složenih aktivnosti vezanih za pripremu i provedbu projekta (priprema i usklađivanje tehničke dokumentacije, ishođenja potrebnih dozvola za gradnju, pripreme dokumentacije za nabavu, provedba postupka javne nabave) prethodno planirano ugovaranje radova pomaknulo za drugi dio godine.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Pozicija </w:t>
      </w:r>
      <w:r>
        <w:rPr>
          <w:rFonts w:ascii="Times New Roman" w:hAnsi="Times New Roman" w:cs="Times New Roman"/>
          <w:i/>
          <w:sz w:val="24"/>
        </w:rPr>
        <w:t>Pomoći od međunarodnih organizacija te institucija i tijela EU</w:t>
      </w:r>
      <w:r>
        <w:rPr>
          <w:rFonts w:ascii="Times New Roman" w:hAnsi="Times New Roman" w:cs="Times New Roman"/>
          <w:sz w:val="24"/>
        </w:rPr>
        <w:t xml:space="preserve"> iznosi 0,11 mil EUR, a odnosi se na primljena sredstva za projekt </w:t>
      </w:r>
      <w:r>
        <w:rPr>
          <w:rFonts w:ascii="Times New Roman" w:hAnsi="Times New Roman" w:cs="Times New Roman"/>
          <w:i/>
          <w:sz w:val="24"/>
        </w:rPr>
        <w:t>Primjena telematskih aplikacija za europsku interoperabilnost</w:t>
      </w:r>
      <w:r>
        <w:rPr>
          <w:rFonts w:ascii="Times New Roman" w:hAnsi="Times New Roman" w:cs="Times New Roman"/>
          <w:sz w:val="24"/>
        </w:rPr>
        <w:t xml:space="preserve">. U odnosu na plan za 2025. godinu ostvareno je 31,1%. U odnosu na isto razdoblje prethodne godine ostvareno je značajno odstupanje koje se gotovo u cijelosti odnosi na projekt </w:t>
      </w:r>
      <w:r>
        <w:rPr>
          <w:rFonts w:ascii="Times New Roman" w:hAnsi="Times New Roman" w:cs="Times New Roman"/>
          <w:i/>
          <w:sz w:val="24"/>
        </w:rPr>
        <w:t>Rekonstrukcija postojećeg i izgradnja drugog kolosijeka na dionici Križevci-Koprivnica-DG</w:t>
      </w:r>
      <w:r>
        <w:rPr>
          <w:rFonts w:ascii="Times New Roman" w:hAnsi="Times New Roman" w:cs="Times New Roman"/>
          <w:sz w:val="24"/>
        </w:rPr>
        <w:t xml:space="preserve"> budući da je s 31.12.2024. isteklo razdoblje financiranja tog projekta iz CEF programa.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>Prihodi od imovine</w:t>
      </w:r>
      <w:r>
        <w:rPr>
          <w:rFonts w:ascii="Times New Roman" w:hAnsi="Times New Roman" w:cs="Times New Roman"/>
          <w:sz w:val="24"/>
        </w:rPr>
        <w:t xml:space="preserve"> iznose 2,50 mil EUR, a najvećim dijelom odnose na ostvarene prihode od zakupa i iznajmljivanja imovine (2,40 mil EUR) i prihoda od kamata (0,10 mil EUR). Prihodi od imovine ostvareni su na razini 49,7% plana za 2025. godinu odnosno na razini su ostvarenih prihoda u istom razdoblju prethodne godine.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 xml:space="preserve">Prihodi od prodaje proizvoda i robe te pruženih usluga, prihodi od donacija te povrati po protestiranim jamstvima </w:t>
      </w:r>
      <w:r>
        <w:rPr>
          <w:rFonts w:ascii="Times New Roman" w:hAnsi="Times New Roman" w:cs="Times New Roman"/>
          <w:sz w:val="24"/>
        </w:rPr>
        <w:t xml:space="preserve">iznose 23,1 mil EUR i u odnosu na isto razdoblje prethodne godine veći su za 9,2% odnosno ostvareni su na razini 63,2% plana za 2025. godinu. Najvećim dijelom ostvareni su od pružanja željezničkih usluga (22,28 mil EUR).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>Ostali nespomenuti prihodi</w:t>
      </w:r>
      <w:r>
        <w:rPr>
          <w:rFonts w:ascii="Times New Roman" w:hAnsi="Times New Roman" w:cs="Times New Roman"/>
          <w:sz w:val="24"/>
        </w:rPr>
        <w:t xml:space="preserve"> iznose 25,00 mil EUR, a odnose se na prihode temeljem sklopljene Nagodbe Republike Hrvatske i HŽ Infrastrukture o uređenju imovinsko-pravnih pitanja preostalih nakon podjele HŽ-Hrvatske željeznice d.o.o. s ciljem namire potraživanja za manje preneseni temeljni kapital na ime ulaganja u javno dobro. U odnosu na plan za 2025. godinu ostvareno je 100,0%. </w:t>
      </w:r>
    </w:p>
    <w:p w:rsidR="00A27B39" w:rsidRDefault="00B16474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24"/>
        <w:gridCol w:w="1499"/>
        <w:gridCol w:w="1499"/>
        <w:gridCol w:w="1498"/>
        <w:gridCol w:w="937"/>
        <w:gridCol w:w="937"/>
      </w:tblGrid>
      <w:tr w:rsidR="00A27B39">
        <w:tc>
          <w:tcPr>
            <w:tcW w:w="14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2025.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A27B39">
        <w:tc>
          <w:tcPr>
            <w:tcW w:w="14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A27B39">
        <w:tc>
          <w:tcPr>
            <w:tcW w:w="1400" w:type="pct"/>
            <w:vAlign w:val="center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101.004.349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218.583.000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112.423.026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111,3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51,4</w:t>
            </w:r>
          </w:p>
        </w:tc>
      </w:tr>
      <w:tr w:rsidR="00A27B39">
        <w:tc>
          <w:tcPr>
            <w:tcW w:w="14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96.243.159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312.928.031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145.963.773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151,7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46,6</w:t>
            </w:r>
          </w:p>
        </w:tc>
      </w:tr>
      <w:tr w:rsidR="00A27B39">
        <w:tc>
          <w:tcPr>
            <w:tcW w:w="14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197.247.508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531.511.031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258.386.799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131,0</w:t>
            </w:r>
          </w:p>
        </w:tc>
        <w:tc>
          <w:tcPr>
            <w:tcW w:w="5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48,6</w:t>
            </w:r>
          </w:p>
        </w:tc>
      </w:tr>
    </w:tbl>
    <w:p w:rsidR="00A27B39" w:rsidRDefault="00A27B39">
      <w:pPr>
        <w:spacing w:after="0" w:line="240" w:lineRule="auto"/>
      </w:pP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prvom polugodištu 2025. godine HŽ Infrastruktura ostvarila je ukupne rashode u iznosu 258,39 mil EUR što je na razini 48,6% planiranih sredstava. Od ukupno ostvarenih rashoda, 43,5% odnosi se na rashode poslovanja odnosno 56,5% na rashode za nabavu nefinancijske imovine.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odnosu na isto razdoblje prethodne godine, </w:t>
      </w:r>
      <w:r w:rsidR="002F6AAC">
        <w:rPr>
          <w:rFonts w:ascii="Times New Roman" w:hAnsi="Times New Roman" w:cs="Times New Roman"/>
          <w:sz w:val="24"/>
        </w:rPr>
        <w:t>izvršeni</w:t>
      </w:r>
      <w:r>
        <w:rPr>
          <w:rFonts w:ascii="Times New Roman" w:hAnsi="Times New Roman" w:cs="Times New Roman"/>
          <w:sz w:val="24"/>
        </w:rPr>
        <w:t xml:space="preserve"> ukupni rashodi veći su za 31,0%. </w:t>
      </w:r>
    </w:p>
    <w:p w:rsidR="00A27B39" w:rsidRDefault="00A27B39">
      <w:pPr>
        <w:spacing w:line="240" w:lineRule="auto"/>
        <w:jc w:val="both"/>
      </w:pP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RASHODI POSLOVANJA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Ukupni rashodi poslovanja u prvom polugodištu 2025. godine iznose 112,42 mil odnosno 51,4% planiranih sredstava. U odnosu na isto razdoblje 2024. godine veći su za 11,3%.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>Rashodi za zaposlene</w:t>
      </w:r>
      <w:r>
        <w:rPr>
          <w:rFonts w:ascii="Times New Roman" w:hAnsi="Times New Roman" w:cs="Times New Roman"/>
          <w:sz w:val="24"/>
        </w:rPr>
        <w:t xml:space="preserve"> iznose 70,59 mil EUR što je na razini 47,2% planiranih sredstava. U odnosu na isto razdoblje 2024. godine veći su za 8,7% odnosno za 5,67 mil EUR što je najvećim dijelom rezultat povećanja plaća i ostalih materijalnih prava temeljem Kolektivnog ugovora.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>Materijalni rashodi</w:t>
      </w:r>
      <w:r>
        <w:rPr>
          <w:rFonts w:ascii="Times New Roman" w:hAnsi="Times New Roman" w:cs="Times New Roman"/>
          <w:sz w:val="24"/>
        </w:rPr>
        <w:t xml:space="preserve"> iznose 38,47 mil EUR odnosno 58,1% plana za 2025. godinu, a u odnosu na isto razdoblje prethodne godine veći su za 24,4%. U strukturi materijalnih rashoda za promatrano razdoblje 69,0% odnosi se na rashode za materijal i energiju i rashode za usluge koji se najvećim dijelom odnose na rashode vezane za redovno i izvanredno održavanje željezničke infrastrukture te održavanje zgrada i opreme. </w:t>
      </w:r>
      <w:r>
        <w:rPr>
          <w:rFonts w:ascii="Times New Roman" w:hAnsi="Times New Roman" w:cs="Times New Roman"/>
          <w:i/>
          <w:sz w:val="24"/>
        </w:rPr>
        <w:t>Naknade troškova zaposlenima</w:t>
      </w:r>
      <w:r>
        <w:rPr>
          <w:rFonts w:ascii="Times New Roman" w:hAnsi="Times New Roman" w:cs="Times New Roman"/>
          <w:sz w:val="24"/>
        </w:rPr>
        <w:t xml:space="preserve"> iznose 3,00 mil EUR i u odnosu na isto razdoblje prethodne godine manji su za 2,9%. </w:t>
      </w:r>
      <w:r>
        <w:rPr>
          <w:rFonts w:ascii="Times New Roman" w:hAnsi="Times New Roman" w:cs="Times New Roman"/>
          <w:i/>
          <w:sz w:val="24"/>
        </w:rPr>
        <w:t>Ostali nespomenuti rashodi poslovanja</w:t>
      </w:r>
      <w:r>
        <w:rPr>
          <w:rFonts w:ascii="Times New Roman" w:hAnsi="Times New Roman" w:cs="Times New Roman"/>
          <w:sz w:val="24"/>
        </w:rPr>
        <w:t xml:space="preserve"> izvršeni su u ukupnom iznosu 8,83 mil EUR od čega se na troškove sudskih postupaka odnosi 5,35 mil EUR i na doprinose za korištenje gradskog zemljišta i vodoprivredne naknade odnosi 2,83 mil EUR. Povećanje troškova za sudske postupke odnosi se na troškove po pravomoćnoj sudskoj presudi HŽ Putničkog prijevoza zbog pretrpljene štete nastale u izvanrednom događaju iskliznuća nagibnog vlaka u mjestu Rudine iz 2009. godine.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prvom polugodištu 2025. godini </w:t>
      </w:r>
      <w:r>
        <w:rPr>
          <w:rFonts w:ascii="Times New Roman" w:hAnsi="Times New Roman" w:cs="Times New Roman"/>
          <w:i/>
          <w:sz w:val="24"/>
        </w:rPr>
        <w:t>Financijski rashodi</w:t>
      </w:r>
      <w:r>
        <w:rPr>
          <w:rFonts w:ascii="Times New Roman" w:hAnsi="Times New Roman" w:cs="Times New Roman"/>
          <w:sz w:val="24"/>
        </w:rPr>
        <w:t xml:space="preserve"> iznose 2,61 mil EUR i ostvareni su na razini 126,6% planiranih sredstava za 2025. godinu. Predmetno povećanje u cijelosti je rezultat povećanja </w:t>
      </w:r>
      <w:r>
        <w:rPr>
          <w:rFonts w:ascii="Times New Roman" w:hAnsi="Times New Roman" w:cs="Times New Roman"/>
          <w:i/>
          <w:sz w:val="24"/>
        </w:rPr>
        <w:t>Ostalih financijskih rashoda</w:t>
      </w:r>
      <w:r>
        <w:rPr>
          <w:rFonts w:ascii="Times New Roman" w:hAnsi="Times New Roman" w:cs="Times New Roman"/>
          <w:sz w:val="24"/>
        </w:rPr>
        <w:t xml:space="preserve"> na kojima su evidentirane podmirene porezne obveze. U odnosu na isto razdoblje 2024. godine manji su za 44,9%.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 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NABAVU NEFINANCIJSKE IMOVINE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Ukupni </w:t>
      </w:r>
      <w:r>
        <w:rPr>
          <w:rFonts w:ascii="Times New Roman" w:hAnsi="Times New Roman" w:cs="Times New Roman"/>
          <w:i/>
          <w:sz w:val="24"/>
        </w:rPr>
        <w:t>rashodi za nabavu nefinancijske imovine</w:t>
      </w:r>
      <w:r>
        <w:rPr>
          <w:rFonts w:ascii="Times New Roman" w:hAnsi="Times New Roman" w:cs="Times New Roman"/>
          <w:sz w:val="24"/>
        </w:rPr>
        <w:t xml:space="preserve"> u prvom polugodištu 2025. godine iznose 145,96 mil EUR odnosno 46,6% planiranih sredstava za 2025. godinu, od čega se na programe investicijskih aktivnosti odnosi 98,0% tj. 143,09 mil EUR.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odnosu na isto razdoblje prethodne godine, rashodi za nabavu nefinancijske imovine veći su za 51,7% odnosno za 49,72 mil EUR.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Prema programima investicijskih aktivnosti izvršenje po programima je kako slijedi: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Program obnove i modernizaci</w:t>
      </w:r>
      <w:r w:rsidR="00167AF0">
        <w:rPr>
          <w:rFonts w:ascii="Times New Roman" w:hAnsi="Times New Roman" w:cs="Times New Roman"/>
          <w:sz w:val="24"/>
        </w:rPr>
        <w:t>je pruga za međunarodni promet u iznosu od</w:t>
      </w:r>
      <w:r>
        <w:rPr>
          <w:rFonts w:ascii="Times New Roman" w:hAnsi="Times New Roman" w:cs="Times New Roman"/>
          <w:sz w:val="24"/>
        </w:rPr>
        <w:t xml:space="preserve"> 35,84 mil EUR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Program obnove i modernizacije pruga za regionalni promet</w:t>
      </w:r>
      <w:r w:rsidR="00BA5957" w:rsidRPr="00BA5957">
        <w:rPr>
          <w:rFonts w:ascii="Times New Roman" w:hAnsi="Times New Roman" w:cs="Times New Roman"/>
          <w:sz w:val="24"/>
        </w:rPr>
        <w:t xml:space="preserve"> </w:t>
      </w:r>
      <w:r w:rsidR="00BA5957">
        <w:rPr>
          <w:rFonts w:ascii="Times New Roman" w:hAnsi="Times New Roman" w:cs="Times New Roman"/>
          <w:sz w:val="24"/>
        </w:rPr>
        <w:t xml:space="preserve">u iznosu od </w:t>
      </w:r>
      <w:r>
        <w:rPr>
          <w:rFonts w:ascii="Times New Roman" w:hAnsi="Times New Roman" w:cs="Times New Roman"/>
          <w:sz w:val="24"/>
        </w:rPr>
        <w:t>26,95 mil EUR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Program obnove i modernizacije pruga za lokalni promet</w:t>
      </w:r>
      <w:r w:rsidR="00BA5957" w:rsidRPr="00BA5957">
        <w:rPr>
          <w:rFonts w:ascii="Times New Roman" w:hAnsi="Times New Roman" w:cs="Times New Roman"/>
          <w:sz w:val="24"/>
        </w:rPr>
        <w:t xml:space="preserve"> </w:t>
      </w:r>
      <w:r w:rsidR="00BA5957">
        <w:rPr>
          <w:rFonts w:ascii="Times New Roman" w:hAnsi="Times New Roman" w:cs="Times New Roman"/>
          <w:sz w:val="24"/>
        </w:rPr>
        <w:t xml:space="preserve">u iznosu od </w:t>
      </w:r>
      <w:r>
        <w:rPr>
          <w:rFonts w:ascii="Times New Roman" w:hAnsi="Times New Roman" w:cs="Times New Roman"/>
          <w:sz w:val="24"/>
        </w:rPr>
        <w:t>12,95 mil EUR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Program obnove i modernizacije željezničkog čvorišta Zagreba</w:t>
      </w:r>
      <w:r w:rsidR="00BA5957" w:rsidRPr="00BA5957">
        <w:rPr>
          <w:rFonts w:ascii="Times New Roman" w:hAnsi="Times New Roman" w:cs="Times New Roman"/>
          <w:sz w:val="24"/>
        </w:rPr>
        <w:t xml:space="preserve"> </w:t>
      </w:r>
      <w:r w:rsidR="00BA5957">
        <w:rPr>
          <w:rFonts w:ascii="Times New Roman" w:hAnsi="Times New Roman" w:cs="Times New Roman"/>
          <w:sz w:val="24"/>
        </w:rPr>
        <w:t xml:space="preserve">u iznosu od </w:t>
      </w:r>
      <w:r>
        <w:rPr>
          <w:rFonts w:ascii="Times New Roman" w:hAnsi="Times New Roman" w:cs="Times New Roman"/>
          <w:sz w:val="24"/>
        </w:rPr>
        <w:t>8,71 mil EUR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Program aktivnosti u funkciji infrastrukture i prometa na mreži kao cjeline</w:t>
      </w:r>
      <w:r w:rsidR="00BA5957" w:rsidRPr="00BA5957">
        <w:rPr>
          <w:rFonts w:ascii="Times New Roman" w:hAnsi="Times New Roman" w:cs="Times New Roman"/>
          <w:sz w:val="24"/>
        </w:rPr>
        <w:t xml:space="preserve"> </w:t>
      </w:r>
      <w:r w:rsidR="00BA5957">
        <w:rPr>
          <w:rFonts w:ascii="Times New Roman" w:hAnsi="Times New Roman" w:cs="Times New Roman"/>
          <w:sz w:val="24"/>
        </w:rPr>
        <w:t xml:space="preserve">u iznosu od </w:t>
      </w:r>
      <w:r>
        <w:rPr>
          <w:rFonts w:ascii="Times New Roman" w:hAnsi="Times New Roman" w:cs="Times New Roman"/>
          <w:sz w:val="24"/>
        </w:rPr>
        <w:t>13,08 mil EUR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Izgradnja novih pruga i kolosijeka</w:t>
      </w:r>
      <w:r w:rsidR="00BA5957" w:rsidRPr="00BA5957">
        <w:rPr>
          <w:rFonts w:ascii="Times New Roman" w:hAnsi="Times New Roman" w:cs="Times New Roman"/>
          <w:sz w:val="24"/>
        </w:rPr>
        <w:t xml:space="preserve"> </w:t>
      </w:r>
      <w:r w:rsidR="00BA5957">
        <w:rPr>
          <w:rFonts w:ascii="Times New Roman" w:hAnsi="Times New Roman" w:cs="Times New Roman"/>
          <w:sz w:val="24"/>
        </w:rPr>
        <w:t xml:space="preserve">u iznosu od </w:t>
      </w:r>
      <w:r>
        <w:rPr>
          <w:rFonts w:ascii="Times New Roman" w:hAnsi="Times New Roman" w:cs="Times New Roman"/>
          <w:sz w:val="24"/>
        </w:rPr>
        <w:t>45,56 mil EUR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 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>Ukupno izvršeni rashodi za nabavu nefinancijske imovine gotovo u cijelosti (98,5%) se odnose na rashode za nabavu proizvedene dugotrajne imovine koji iznose 143,81 mil EUR od kojih se 133,71 mil EUR odnosi na građevinske objekte koji uključuju ceste, željeznice i ostale prometne objekte i građevinske objekte u funkciji željezničkog prometa. Osim navedenoga, rashodi za nabavu nefinancijske imovine odnose na rashode za: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 xml:space="preserve">-       Postrojenja i opremu </w:t>
      </w:r>
      <w:r w:rsidR="000E6943">
        <w:rPr>
          <w:rFonts w:ascii="Times New Roman" w:hAnsi="Times New Roman" w:cs="Times New Roman"/>
          <w:sz w:val="24"/>
        </w:rPr>
        <w:t>u iznosu od</w:t>
      </w:r>
      <w:r>
        <w:rPr>
          <w:rFonts w:ascii="Times New Roman" w:hAnsi="Times New Roman" w:cs="Times New Roman"/>
          <w:sz w:val="24"/>
        </w:rPr>
        <w:t xml:space="preserve"> 8,10 mil EUR</w:t>
      </w:r>
    </w:p>
    <w:p w:rsidR="00A27B39" w:rsidRDefault="00B16474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 xml:space="preserve">-       Prijevozna sredstva </w:t>
      </w:r>
      <w:r w:rsidR="000E6943">
        <w:rPr>
          <w:rFonts w:ascii="Times New Roman" w:hAnsi="Times New Roman" w:cs="Times New Roman"/>
          <w:sz w:val="24"/>
        </w:rPr>
        <w:t xml:space="preserve">u iznosu od </w:t>
      </w:r>
      <w:r>
        <w:rPr>
          <w:rFonts w:ascii="Times New Roman" w:hAnsi="Times New Roman" w:cs="Times New Roman"/>
          <w:sz w:val="24"/>
        </w:rPr>
        <w:t>0,32 mil EUR</w:t>
      </w:r>
    </w:p>
    <w:p w:rsidR="00A27B39" w:rsidRDefault="00B16474" w:rsidP="000E6943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 xml:space="preserve">-       Nematerijalnu proizvedenu imovinu </w:t>
      </w:r>
      <w:r w:rsidR="000E6943">
        <w:rPr>
          <w:rFonts w:ascii="Times New Roman" w:hAnsi="Times New Roman" w:cs="Times New Roman"/>
          <w:sz w:val="24"/>
        </w:rPr>
        <w:t>u iznosu od</w:t>
      </w:r>
      <w:r>
        <w:rPr>
          <w:rFonts w:ascii="Times New Roman" w:hAnsi="Times New Roman" w:cs="Times New Roman"/>
          <w:sz w:val="24"/>
        </w:rPr>
        <w:t xml:space="preserve"> 1,68 mil EUR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nabavu neproizvedene dugotrajne imovine iznose 2,15 mil EUR i odnose se na rashode vezane za otkupe zemljišta. </w:t>
      </w:r>
    </w:p>
    <w:p w:rsidR="00A27B39" w:rsidRDefault="00B16474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RAČUN FINANCIRANJA</w:t>
      </w:r>
    </w:p>
    <w:p w:rsidR="00A27B39" w:rsidRDefault="00B16474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7"/>
        <w:gridCol w:w="1799"/>
        <w:gridCol w:w="1799"/>
        <w:gridCol w:w="899"/>
      </w:tblGrid>
      <w:tr w:rsidR="00A27B39">
        <w:tc>
          <w:tcPr>
            <w:tcW w:w="2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A27B39">
        <w:tc>
          <w:tcPr>
            <w:tcW w:w="2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A27B39">
        <w:tc>
          <w:tcPr>
            <w:tcW w:w="2500" w:type="pct"/>
            <w:vAlign w:val="center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489.464.400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300.496.839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61,4</w:t>
            </w:r>
          </w:p>
        </w:tc>
      </w:tr>
      <w:tr w:rsidR="00A27B39">
        <w:tc>
          <w:tcPr>
            <w:tcW w:w="25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531.511.031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258.386.799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48,6</w:t>
            </w:r>
          </w:p>
        </w:tc>
      </w:tr>
      <w:tr w:rsidR="00A27B39">
        <w:tc>
          <w:tcPr>
            <w:tcW w:w="25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-42.046.631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42.110.040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-100,2</w:t>
            </w:r>
          </w:p>
        </w:tc>
      </w:tr>
    </w:tbl>
    <w:p w:rsidR="00A27B39" w:rsidRDefault="00A27B39">
      <w:pPr>
        <w:spacing w:after="0" w:line="240" w:lineRule="auto"/>
      </w:pPr>
    </w:p>
    <w:p w:rsidR="00A27B39" w:rsidRDefault="00B16474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7"/>
        <w:gridCol w:w="1799"/>
        <w:gridCol w:w="1799"/>
        <w:gridCol w:w="899"/>
      </w:tblGrid>
      <w:tr w:rsidR="00A27B39">
        <w:tc>
          <w:tcPr>
            <w:tcW w:w="2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A27B39">
        <w:tc>
          <w:tcPr>
            <w:tcW w:w="25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A27B39" w:rsidRDefault="00B164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A27B39">
        <w:tc>
          <w:tcPr>
            <w:tcW w:w="2500" w:type="pct"/>
            <w:vAlign w:val="center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30.000.000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5.000.000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16,7</w:t>
            </w:r>
          </w:p>
        </w:tc>
      </w:tr>
      <w:tr w:rsidR="00A27B39">
        <w:tc>
          <w:tcPr>
            <w:tcW w:w="25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63.115.000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30.140.988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47,8</w:t>
            </w:r>
          </w:p>
        </w:tc>
      </w:tr>
      <w:tr w:rsidR="00A27B39">
        <w:tc>
          <w:tcPr>
            <w:tcW w:w="25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-33.115.000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-25.140.988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75,9</w:t>
            </w:r>
          </w:p>
        </w:tc>
      </w:tr>
      <w:tr w:rsidR="00A27B39">
        <w:tc>
          <w:tcPr>
            <w:tcW w:w="25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84.953.850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110.884.548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130,5</w:t>
            </w:r>
          </w:p>
        </w:tc>
      </w:tr>
      <w:tr w:rsidR="00A27B39">
        <w:tc>
          <w:tcPr>
            <w:tcW w:w="25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-9.792.219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-127.853.600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1305,7</w:t>
            </w:r>
          </w:p>
        </w:tc>
      </w:tr>
      <w:tr w:rsidR="00A27B39">
        <w:tc>
          <w:tcPr>
            <w:tcW w:w="25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42.046.631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-42.110.040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-100,2</w:t>
            </w:r>
          </w:p>
        </w:tc>
      </w:tr>
      <w:tr w:rsidR="00A27B39">
        <w:tc>
          <w:tcPr>
            <w:tcW w:w="2500" w:type="pct"/>
            <w:vAlign w:val="bottom"/>
          </w:tcPr>
          <w:p w:rsidR="00A27B39" w:rsidRDefault="00B1647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A27B39" w:rsidRDefault="00B164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A27B39" w:rsidRDefault="00A27B39">
            <w:pPr>
              <w:spacing w:after="0" w:line="240" w:lineRule="auto"/>
              <w:jc w:val="right"/>
            </w:pPr>
          </w:p>
        </w:tc>
      </w:tr>
    </w:tbl>
    <w:p w:rsidR="00A27B39" w:rsidRDefault="00A27B39">
      <w:pPr>
        <w:spacing w:after="0" w:line="240" w:lineRule="auto"/>
      </w:pP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prvom polugodištu 2025. godine HŽ Infrastruktura ostvarila je ukupne prihode u iznosu 300,50 mil EUR ili 61,4% planiranih, odnosno ukupne rashode u iznosu 258,39 mil EUR što je na razini 48,6% planiranih sredstava. Razlika ostvarenih ukupnih prihoda i ukupnih rashoda iskazana je kao višak u iznosu 42,11 mil EUR.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HŽ Infrastruktura je u prvom polugodištu 2025. godine ostvarila 5,00 mil EUR primitaka od zaduživanja iz kredita kreditnih institucija izvan javnog sektora. S obzirom na plan, ostvareno je 16,7% planiranih primitaka od zaduženja.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Izdaci za financijsku imovinu i otplate zajmova iznose 30,14 mil EUR, od čega se 13,37 mil EUR odnosi na otplatu glavnice kredita i 16,77 mil EUR dokapitalizaciju ovisnog društva Pružne građevine d.o.o. s ciljem financijske konsolidacije Društva.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Izdaci za financijsku imovinu i otplate zajmova ostvareni su na razini 47,8% planiranih sredstava.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 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PRIJENOS SREDSTAVA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Prijenos sredstava iz prethodne godine iznosi 110,88 mil EUR gotovo u cijelosti odnosi se na sredstva na posebnim računima za investicije.  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Prijenos sredstava u sljedeće razdoblje na dan 30.06.2025. iznosi 127,85 mil EUR a rezultat su stanja sredstava na posebnim  poslovnim računima i promjena u stanju potraživanja odnosno obveza koja su rezultat priljeva odnosno odljeva a koje nisu utjecale na prihode/primitke odnosno rashode/izdatke.   </w:t>
      </w:r>
    </w:p>
    <w:p w:rsidR="00A27B39" w:rsidRDefault="00B16474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>IZVJEŠTAJ O ZADUŽIVANJU NA DOMAĆEM I STRANOM TRŽIŠTU NOVCA I KAPITALA</w:t>
      </w:r>
    </w:p>
    <w:p w:rsidR="00A27B39" w:rsidRDefault="00B16474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prvom polugodištu 2025. godine, HŽ Infrastruktura je dana 23.04.2025. sklopila sljedeći ugovor o kreditu s državnim jamstvom:</w:t>
      </w:r>
    </w:p>
    <w:tbl>
      <w:tblPr>
        <w:tblStyle w:val="Reetkatablice"/>
        <w:tblW w:w="9377" w:type="dxa"/>
        <w:jc w:val="center"/>
        <w:tblLook w:val="04A0" w:firstRow="1" w:lastRow="0" w:firstColumn="1" w:lastColumn="0" w:noHBand="0" w:noVBand="1"/>
      </w:tblPr>
      <w:tblGrid>
        <w:gridCol w:w="2694"/>
        <w:gridCol w:w="2112"/>
        <w:gridCol w:w="1559"/>
        <w:gridCol w:w="1559"/>
        <w:gridCol w:w="1453"/>
      </w:tblGrid>
      <w:tr w:rsidR="00E15532" w:rsidRPr="00F169E0" w:rsidTr="00541F5B">
        <w:trPr>
          <w:jc w:val="center"/>
        </w:trPr>
        <w:tc>
          <w:tcPr>
            <w:tcW w:w="2694" w:type="dxa"/>
            <w:vAlign w:val="center"/>
          </w:tcPr>
          <w:p w:rsidR="00E15532" w:rsidRPr="006C4759" w:rsidRDefault="00E15532" w:rsidP="004528DC">
            <w:pPr>
              <w:jc w:val="center"/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</w:pPr>
            <w:r w:rsidRPr="006C4759"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  <w:t>Davatelj kredita</w:t>
            </w:r>
          </w:p>
        </w:tc>
        <w:tc>
          <w:tcPr>
            <w:tcW w:w="2112" w:type="dxa"/>
            <w:vAlign w:val="center"/>
          </w:tcPr>
          <w:p w:rsidR="00E15532" w:rsidRPr="006C4759" w:rsidRDefault="00E15532" w:rsidP="004528DC">
            <w:pPr>
              <w:jc w:val="center"/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</w:pPr>
            <w:r w:rsidRPr="006C4759"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  <w:t>Instrument osiguranja plaćanja</w:t>
            </w:r>
          </w:p>
        </w:tc>
        <w:tc>
          <w:tcPr>
            <w:tcW w:w="1559" w:type="dxa"/>
            <w:vAlign w:val="center"/>
          </w:tcPr>
          <w:p w:rsidR="00E15532" w:rsidRPr="006C4759" w:rsidRDefault="00E15532" w:rsidP="004528DC">
            <w:pPr>
              <w:jc w:val="center"/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</w:pPr>
            <w:r w:rsidRPr="006C4759"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  <w:t>Iznos kredita</w:t>
            </w:r>
          </w:p>
        </w:tc>
        <w:tc>
          <w:tcPr>
            <w:tcW w:w="1559" w:type="dxa"/>
            <w:vAlign w:val="center"/>
          </w:tcPr>
          <w:p w:rsidR="00E15532" w:rsidRPr="006C4759" w:rsidRDefault="00E15532" w:rsidP="004528DC">
            <w:pPr>
              <w:jc w:val="center"/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</w:pPr>
            <w:r w:rsidRPr="006C4759"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  <w:t>Kamatna stopa</w:t>
            </w:r>
          </w:p>
        </w:tc>
        <w:tc>
          <w:tcPr>
            <w:tcW w:w="1453" w:type="dxa"/>
            <w:vAlign w:val="center"/>
          </w:tcPr>
          <w:p w:rsidR="00E15532" w:rsidRPr="006C4759" w:rsidRDefault="00E15532" w:rsidP="004528DC">
            <w:pPr>
              <w:jc w:val="center"/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</w:pPr>
            <w:r w:rsidRPr="006C4759">
              <w:rPr>
                <w:rFonts w:ascii="Aptos" w:eastAsia="Times New Roman" w:hAnsi="Aptos" w:cs="Times New Roman"/>
                <w:b/>
                <w:bCs/>
                <w:sz w:val="18"/>
                <w:szCs w:val="14"/>
              </w:rPr>
              <w:t>Rok otplate</w:t>
            </w:r>
          </w:p>
        </w:tc>
      </w:tr>
      <w:tr w:rsidR="00E15532" w:rsidRPr="009A57D3" w:rsidTr="00541F5B">
        <w:trPr>
          <w:trHeight w:val="340"/>
          <w:jc w:val="center"/>
        </w:trPr>
        <w:tc>
          <w:tcPr>
            <w:tcW w:w="2694" w:type="dxa"/>
            <w:vAlign w:val="center"/>
          </w:tcPr>
          <w:p w:rsidR="00E15532" w:rsidRPr="009A57D3" w:rsidRDefault="00E15532" w:rsidP="004528DC">
            <w:pPr>
              <w:rPr>
                <w:rFonts w:ascii="Aptos" w:eastAsia="Times New Roman" w:hAnsi="Aptos" w:cs="Times New Roman"/>
                <w:sz w:val="18"/>
                <w:szCs w:val="18"/>
              </w:rPr>
            </w:pPr>
            <w:r w:rsidRPr="009A57D3">
              <w:rPr>
                <w:rFonts w:ascii="Aptos" w:hAnsi="Aptos" w:cs="Times New Roman"/>
                <w:sz w:val="18"/>
                <w:szCs w:val="18"/>
              </w:rPr>
              <w:t>Hrvatska poštanska banka d.d.</w:t>
            </w:r>
          </w:p>
        </w:tc>
        <w:tc>
          <w:tcPr>
            <w:tcW w:w="2112" w:type="dxa"/>
            <w:vAlign w:val="center"/>
          </w:tcPr>
          <w:p w:rsidR="00E15532" w:rsidRPr="009A57D3" w:rsidRDefault="00E15532" w:rsidP="00541F5B">
            <w:pPr>
              <w:jc w:val="center"/>
              <w:rPr>
                <w:rFonts w:ascii="Aptos" w:eastAsia="Times New Roman" w:hAnsi="Aptos" w:cs="Times New Roman"/>
                <w:sz w:val="18"/>
                <w:szCs w:val="18"/>
              </w:rPr>
            </w:pPr>
            <w:r w:rsidRPr="009A57D3">
              <w:rPr>
                <w:rFonts w:ascii="Aptos" w:hAnsi="Aptos" w:cs="Times New Roman"/>
                <w:sz w:val="18"/>
                <w:szCs w:val="18"/>
              </w:rPr>
              <w:t>državno jamstvo</w:t>
            </w:r>
          </w:p>
        </w:tc>
        <w:tc>
          <w:tcPr>
            <w:tcW w:w="1559" w:type="dxa"/>
            <w:vAlign w:val="center"/>
          </w:tcPr>
          <w:p w:rsidR="00E15532" w:rsidRPr="009A57D3" w:rsidRDefault="00E15532" w:rsidP="004528DC">
            <w:pPr>
              <w:jc w:val="right"/>
              <w:rPr>
                <w:rFonts w:ascii="Aptos" w:eastAsia="Times New Roman" w:hAnsi="Aptos" w:cs="Times New Roman"/>
                <w:sz w:val="18"/>
                <w:szCs w:val="18"/>
              </w:rPr>
            </w:pPr>
            <w:r w:rsidRPr="009A57D3">
              <w:rPr>
                <w:rFonts w:ascii="Aptos" w:hAnsi="Aptos" w:cs="Times New Roman"/>
                <w:sz w:val="18"/>
                <w:szCs w:val="18"/>
              </w:rPr>
              <w:t>30.000.000 EUR</w:t>
            </w:r>
          </w:p>
        </w:tc>
        <w:tc>
          <w:tcPr>
            <w:tcW w:w="1559" w:type="dxa"/>
            <w:vAlign w:val="center"/>
          </w:tcPr>
          <w:p w:rsidR="00E15532" w:rsidRPr="009A57D3" w:rsidRDefault="00E15532" w:rsidP="004528DC">
            <w:pPr>
              <w:jc w:val="center"/>
              <w:rPr>
                <w:rFonts w:ascii="Aptos" w:eastAsia="Times New Roman" w:hAnsi="Aptos" w:cs="Times New Roman"/>
                <w:sz w:val="18"/>
                <w:szCs w:val="18"/>
              </w:rPr>
            </w:pPr>
            <w:r w:rsidRPr="009A57D3">
              <w:rPr>
                <w:rFonts w:ascii="Aptos" w:hAnsi="Aptos" w:cs="Times New Roman"/>
                <w:sz w:val="18"/>
                <w:szCs w:val="18"/>
              </w:rPr>
              <w:t xml:space="preserve">1,93% godišnja, fiksna </w:t>
            </w:r>
          </w:p>
        </w:tc>
        <w:tc>
          <w:tcPr>
            <w:tcW w:w="1453" w:type="dxa"/>
            <w:vAlign w:val="center"/>
          </w:tcPr>
          <w:p w:rsidR="00E15532" w:rsidRPr="009A57D3" w:rsidRDefault="00E15532" w:rsidP="004528DC">
            <w:pPr>
              <w:jc w:val="center"/>
              <w:rPr>
                <w:rFonts w:ascii="Aptos" w:eastAsia="Times New Roman" w:hAnsi="Aptos" w:cs="Times New Roman"/>
                <w:sz w:val="18"/>
                <w:szCs w:val="18"/>
              </w:rPr>
            </w:pPr>
            <w:r w:rsidRPr="009A57D3">
              <w:rPr>
                <w:rFonts w:ascii="Aptos" w:hAnsi="Aptos" w:cs="Times New Roman"/>
                <w:sz w:val="18"/>
                <w:szCs w:val="18"/>
              </w:rPr>
              <w:t>31.12.2027.</w:t>
            </w:r>
          </w:p>
        </w:tc>
      </w:tr>
    </w:tbl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Predmetni kredit koristi se po revolving principu, a namjena je financiranje projekata iz EU programa kao i drugih projekata i obveza s ciljem održavanja dinamike ispunjenja financijskih obveza, a vezano za dinamiku priljeva sredstava iz drugih izvora financiranja.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Državno jamstvo izdaje se u visini kredita uvećano za kamate, naknade i ostale troškove vezane za predmetne kredite. </w:t>
      </w:r>
    </w:p>
    <w:p w:rsidR="00A27B39" w:rsidRDefault="00B16474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 xml:space="preserve">IZVJEŠTAJ O DANIM JAMSTVIMA I PLAĆANJIMA PO PROTESTIRANIM JAMSTVIMA </w:t>
      </w:r>
    </w:p>
    <w:p w:rsidR="00A27B39" w:rsidRDefault="00B16474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prvom polugodištu 2025. godine HŽ Infrastruktura nije izdala jamstva i plaćala po protestiranim jamstvima. </w:t>
      </w:r>
    </w:p>
    <w:sectPr w:rsidR="00A27B39" w:rsidSect="00EA2DAA">
      <w:footerReference w:type="default" r:id="rId7"/>
      <w:pgSz w:w="11906" w:h="16838" w:code="9"/>
      <w:pgMar w:top="1417" w:right="1417" w:bottom="1417" w:left="1417" w:header="720" w:footer="720" w:gutter="0"/>
      <w:pgNumType w:start="1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5A9" w:rsidRDefault="005125A9" w:rsidP="005125A9">
      <w:pPr>
        <w:spacing w:after="0" w:line="240" w:lineRule="auto"/>
      </w:pPr>
      <w:r>
        <w:separator/>
      </w:r>
    </w:p>
  </w:endnote>
  <w:endnote w:type="continuationSeparator" w:id="0">
    <w:p w:rsidR="005125A9" w:rsidRDefault="005125A9" w:rsidP="00512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Bahnschrift Light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393163"/>
      <w:docPartObj>
        <w:docPartGallery w:val="Page Numbers (Bottom of Page)"/>
        <w:docPartUnique/>
      </w:docPartObj>
    </w:sdtPr>
    <w:sdtEndPr/>
    <w:sdtContent>
      <w:p w:rsidR="005125A9" w:rsidRDefault="005125A9">
        <w:pPr>
          <w:pStyle w:val="Podnoje"/>
          <w:jc w:val="center"/>
        </w:pPr>
        <w:r w:rsidRPr="00EA2DAA">
          <w:rPr>
            <w:rFonts w:ascii="Times New Roman" w:hAnsi="Times New Roman" w:cs="Times New Roman"/>
          </w:rPr>
          <w:fldChar w:fldCharType="begin"/>
        </w:r>
        <w:r w:rsidRPr="00EA2DAA">
          <w:rPr>
            <w:rFonts w:ascii="Times New Roman" w:hAnsi="Times New Roman" w:cs="Times New Roman"/>
          </w:rPr>
          <w:instrText>PAGE   \* MERGEFORMAT</w:instrText>
        </w:r>
        <w:r w:rsidRPr="00EA2DAA">
          <w:rPr>
            <w:rFonts w:ascii="Times New Roman" w:hAnsi="Times New Roman" w:cs="Times New Roman"/>
          </w:rPr>
          <w:fldChar w:fldCharType="separate"/>
        </w:r>
        <w:r w:rsidR="00EA2DAA">
          <w:rPr>
            <w:rFonts w:ascii="Times New Roman" w:hAnsi="Times New Roman" w:cs="Times New Roman"/>
            <w:noProof/>
          </w:rPr>
          <w:t>10</w:t>
        </w:r>
        <w:r w:rsidRPr="00EA2DAA">
          <w:rPr>
            <w:rFonts w:ascii="Times New Roman" w:hAnsi="Times New Roman" w:cs="Times New Roman"/>
          </w:rPr>
          <w:fldChar w:fldCharType="end"/>
        </w:r>
      </w:p>
    </w:sdtContent>
  </w:sdt>
  <w:p w:rsidR="005125A9" w:rsidRDefault="005125A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5A9" w:rsidRDefault="005125A9" w:rsidP="005125A9">
      <w:pPr>
        <w:spacing w:after="0" w:line="240" w:lineRule="auto"/>
      </w:pPr>
      <w:r>
        <w:separator/>
      </w:r>
    </w:p>
  </w:footnote>
  <w:footnote w:type="continuationSeparator" w:id="0">
    <w:p w:rsidR="005125A9" w:rsidRDefault="005125A9" w:rsidP="00512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22BAF"/>
    <w:multiLevelType w:val="hybridMultilevel"/>
    <w:tmpl w:val="12FA43DC"/>
    <w:lvl w:ilvl="0" w:tplc="041A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CAF3F28"/>
    <w:multiLevelType w:val="hybridMultilevel"/>
    <w:tmpl w:val="329C050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7B39"/>
    <w:rsid w:val="00054A68"/>
    <w:rsid w:val="0009555A"/>
    <w:rsid w:val="000E6943"/>
    <w:rsid w:val="00167AF0"/>
    <w:rsid w:val="002F6AAC"/>
    <w:rsid w:val="003818D5"/>
    <w:rsid w:val="005125A9"/>
    <w:rsid w:val="00541F5B"/>
    <w:rsid w:val="00595582"/>
    <w:rsid w:val="00744F1C"/>
    <w:rsid w:val="007D7962"/>
    <w:rsid w:val="0082354D"/>
    <w:rsid w:val="00A27B39"/>
    <w:rsid w:val="00AD6E29"/>
    <w:rsid w:val="00B16474"/>
    <w:rsid w:val="00BA5957"/>
    <w:rsid w:val="00E06CE0"/>
    <w:rsid w:val="00E15532"/>
    <w:rsid w:val="00EA2DAA"/>
    <w:rsid w:val="00EA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BF126-63EB-437C-87FE-64F1C859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51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125A9"/>
  </w:style>
  <w:style w:type="paragraph" w:styleId="Podnoje">
    <w:name w:val="footer"/>
    <w:basedOn w:val="Normal"/>
    <w:link w:val="PodnojeChar"/>
    <w:uiPriority w:val="99"/>
    <w:unhideWhenUsed/>
    <w:rsid w:val="0051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125A9"/>
  </w:style>
  <w:style w:type="paragraph" w:styleId="Odlomakpopisa">
    <w:name w:val="List Paragraph"/>
    <w:basedOn w:val="Normal"/>
    <w:uiPriority w:val="34"/>
    <w:qFormat/>
    <w:rsid w:val="0009555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A2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2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 Bakiš</cp:lastModifiedBy>
  <cp:revision>20</cp:revision>
  <cp:lastPrinted>2025-09-11T14:06:00Z</cp:lastPrinted>
  <dcterms:created xsi:type="dcterms:W3CDTF">2025-09-05T11:58:00Z</dcterms:created>
  <dcterms:modified xsi:type="dcterms:W3CDTF">2025-09-11T14:06:00Z</dcterms:modified>
</cp:coreProperties>
</file>